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7674" w14:textId="16387B9A" w:rsidR="00CF43BC" w:rsidRDefault="00F86564" w:rsidP="00C55CD9">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BRACBANK/Proc/RFQ/Y2</w:t>
      </w:r>
      <w:r w:rsidR="00724239">
        <w:rPr>
          <w:rFonts w:ascii="Franklin Gothic Book" w:hAnsi="Franklin Gothic Book" w:cs="Tahoma"/>
          <w:b/>
          <w:bCs/>
          <w:sz w:val="20"/>
          <w:szCs w:val="20"/>
        </w:rPr>
        <w:t>5/</w:t>
      </w:r>
      <w:r w:rsidR="00ED46E8">
        <w:rPr>
          <w:rFonts w:ascii="Franklin Gothic Book" w:hAnsi="Franklin Gothic Book" w:cs="Tahoma"/>
          <w:b/>
          <w:bCs/>
          <w:sz w:val="20"/>
          <w:szCs w:val="20"/>
        </w:rPr>
        <w:t>2</w:t>
      </w:r>
      <w:r w:rsidR="00B30901">
        <w:rPr>
          <w:rFonts w:ascii="Franklin Gothic Book" w:hAnsi="Franklin Gothic Book" w:cs="Tahoma"/>
          <w:b/>
          <w:bCs/>
          <w:sz w:val="20"/>
          <w:szCs w:val="20"/>
        </w:rPr>
        <w:t>75</w:t>
      </w:r>
      <w:r w:rsidR="00732845" w:rsidRPr="00F2634B">
        <w:rPr>
          <w:rFonts w:ascii="Franklin Gothic Book" w:hAnsi="Franklin Gothic Book" w:cs="Tahoma"/>
          <w:b/>
          <w:bCs/>
          <w:sz w:val="20"/>
          <w:szCs w:val="20"/>
        </w:rPr>
        <w:t>;</w:t>
      </w:r>
      <w:r w:rsidR="002F785A" w:rsidRPr="00F2634B">
        <w:rPr>
          <w:rFonts w:ascii="Franklin Gothic Book" w:hAnsi="Franklin Gothic Book" w:cs="Tahoma"/>
          <w:b/>
          <w:bCs/>
          <w:sz w:val="20"/>
          <w:szCs w:val="20"/>
        </w:rPr>
        <w:t xml:space="preserve"> </w:t>
      </w:r>
      <w:r w:rsidR="002F785A" w:rsidRPr="00A22907">
        <w:rPr>
          <w:rFonts w:ascii="Franklin Gothic Book" w:hAnsi="Franklin Gothic Book" w:cs="Tahoma"/>
          <w:b/>
          <w:bCs/>
          <w:sz w:val="20"/>
          <w:szCs w:val="20"/>
        </w:rPr>
        <w:t xml:space="preserve">Auction </w:t>
      </w:r>
      <w:r w:rsidR="00AB1902" w:rsidRPr="00A22907">
        <w:rPr>
          <w:rFonts w:ascii="Franklin Gothic Book" w:hAnsi="Franklin Gothic Book" w:cs="Tahoma"/>
          <w:b/>
          <w:bCs/>
          <w:sz w:val="20"/>
          <w:szCs w:val="20"/>
        </w:rPr>
        <w:t>2000002</w:t>
      </w:r>
      <w:r w:rsidR="00B30901">
        <w:rPr>
          <w:rFonts w:ascii="Franklin Gothic Book" w:hAnsi="Franklin Gothic Book" w:cs="Tahoma"/>
          <w:b/>
          <w:bCs/>
          <w:sz w:val="20"/>
          <w:szCs w:val="20"/>
        </w:rPr>
        <w:t>908</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1C408677"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B30901">
        <w:rPr>
          <w:rFonts w:ascii="Franklin Gothic Book" w:hAnsi="Franklin Gothic Book" w:cs="Tahoma"/>
          <w:b/>
          <w:bCs/>
          <w:sz w:val="20"/>
          <w:szCs w:val="20"/>
        </w:rPr>
        <w:t>August</w:t>
      </w:r>
      <w:r w:rsidR="001677E5">
        <w:rPr>
          <w:rFonts w:ascii="Franklin Gothic Book" w:hAnsi="Franklin Gothic Book" w:cs="Tahoma"/>
          <w:b/>
          <w:bCs/>
          <w:sz w:val="20"/>
          <w:szCs w:val="20"/>
        </w:rPr>
        <w:t xml:space="preserve"> </w:t>
      </w:r>
      <w:r w:rsidR="00B30901">
        <w:rPr>
          <w:rFonts w:ascii="Franklin Gothic Book" w:hAnsi="Franklin Gothic Book" w:cs="Tahoma"/>
          <w:b/>
          <w:bCs/>
          <w:sz w:val="20"/>
          <w:szCs w:val="20"/>
        </w:rPr>
        <w:t>24</w:t>
      </w:r>
      <w:r w:rsidR="001677E5">
        <w:rPr>
          <w:rFonts w:ascii="Franklin Gothic Book" w:hAnsi="Franklin Gothic Book" w:cs="Tahoma"/>
          <w:b/>
          <w:bCs/>
          <w:sz w:val="20"/>
          <w:szCs w:val="20"/>
        </w:rPr>
        <w: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6FCFED6" w14:textId="32AF26DD" w:rsidR="00A50CDF"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B30901">
        <w:rPr>
          <w:rFonts w:ascii="Franklin Gothic Book" w:hAnsi="Franklin Gothic Book" w:cs="Tahoma"/>
          <w:b/>
          <w:bCs/>
          <w:sz w:val="20"/>
          <w:szCs w:val="20"/>
        </w:rPr>
        <w:t xml:space="preserve">RFQ for </w:t>
      </w:r>
      <w:r w:rsidR="00B30901" w:rsidRPr="00B30901">
        <w:rPr>
          <w:rFonts w:ascii="Franklin Gothic Book" w:hAnsi="Franklin Gothic Book" w:cs="Tahoma"/>
          <w:b/>
          <w:bCs/>
          <w:sz w:val="20"/>
          <w:szCs w:val="20"/>
        </w:rPr>
        <w:t>Interior Fit-out Works at DPDC Collection Booth (Narayanganj)</w:t>
      </w:r>
      <w:r w:rsidR="00B30901">
        <w:rPr>
          <w:rFonts w:ascii="Franklin Gothic Book" w:hAnsi="Franklin Gothic Book" w:cs="Tahoma"/>
          <w:b/>
          <w:bCs/>
          <w:sz w:val="20"/>
          <w:szCs w:val="20"/>
        </w:rPr>
        <w:t xml:space="preserve"> &amp; </w:t>
      </w:r>
      <w:r w:rsidR="00B30901" w:rsidRPr="00B30901">
        <w:rPr>
          <w:rFonts w:ascii="Franklin Gothic Book" w:hAnsi="Franklin Gothic Book" w:cs="Tahoma"/>
          <w:b/>
          <w:bCs/>
          <w:sz w:val="20"/>
          <w:szCs w:val="20"/>
        </w:rPr>
        <w:t>New Drawer &amp; Cabinet Works for Agent Banking Team at Tanbazar Subbranch</w:t>
      </w:r>
      <w:r w:rsidR="00B30901">
        <w:rPr>
          <w:rFonts w:ascii="Franklin Gothic Book" w:hAnsi="Franklin Gothic Book" w:cs="Tahoma"/>
          <w:b/>
          <w:bCs/>
          <w:sz w:val="20"/>
          <w:szCs w:val="20"/>
        </w:rPr>
        <w:t xml:space="preserve"> </w:t>
      </w:r>
      <w:r w:rsidR="00E17310">
        <w:rPr>
          <w:rFonts w:ascii="Franklin Gothic Book" w:hAnsi="Franklin Gothic Book" w:cs="Tahoma"/>
          <w:b/>
          <w:bCs/>
          <w:sz w:val="20"/>
          <w:szCs w:val="20"/>
        </w:rPr>
        <w:t xml:space="preserve">of </w:t>
      </w:r>
      <w:r w:rsidR="00CD69F1" w:rsidRPr="00CD69F1">
        <w:rPr>
          <w:rFonts w:ascii="Franklin Gothic Book" w:hAnsi="Franklin Gothic Book" w:cs="Tahoma"/>
          <w:b/>
          <w:bCs/>
          <w:sz w:val="20"/>
          <w:szCs w:val="20"/>
        </w:rPr>
        <w:t>BRAC Bank PLC</w:t>
      </w:r>
    </w:p>
    <w:p w14:paraId="46805D0F" w14:textId="77777777" w:rsidR="00CD69F1" w:rsidRDefault="00CD69F1" w:rsidP="00F86564">
      <w:pPr>
        <w:autoSpaceDE w:val="0"/>
        <w:autoSpaceDN w:val="0"/>
        <w:jc w:val="both"/>
        <w:rPr>
          <w:rFonts w:ascii="Franklin Gothic Book" w:hAnsi="Franklin Gothic Book" w:cs="Tahoma"/>
          <w:b/>
          <w:color w:val="000000"/>
          <w:sz w:val="20"/>
          <w:szCs w:val="20"/>
        </w:rPr>
      </w:pPr>
    </w:p>
    <w:p w14:paraId="4CDBE56C" w14:textId="18C7DD45"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3FC346D8" w:rsidR="00F86564" w:rsidRPr="00B30901"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r w:rsidR="0074733A">
        <w:rPr>
          <w:rFonts w:ascii="Franklin Gothic Book" w:hAnsi="Franklin Gothic Book" w:cs="Tahoma"/>
          <w:sz w:val="20"/>
          <w:szCs w:val="20"/>
        </w:rPr>
        <w:t>_</w:t>
      </w:r>
      <w:r w:rsidR="0074733A" w:rsidRPr="0074733A">
        <w:rPr>
          <w:rFonts w:ascii="Franklin Gothic Book" w:hAnsi="Franklin Gothic Book" w:cs="Tahoma"/>
          <w:b/>
          <w:bCs/>
          <w:sz w:val="20"/>
          <w:szCs w:val="20"/>
        </w:rPr>
        <w:t xml:space="preserve"> </w:t>
      </w:r>
      <w:r w:rsidR="00B30901" w:rsidRPr="00B30901">
        <w:rPr>
          <w:rFonts w:ascii="Franklin Gothic Book" w:hAnsi="Franklin Gothic Book" w:cs="Tahoma"/>
          <w:b/>
          <w:bCs/>
          <w:sz w:val="20"/>
          <w:szCs w:val="20"/>
        </w:rPr>
        <w:t>DPDC Collection Booth (Narayanganj)</w:t>
      </w:r>
    </w:p>
    <w:p w14:paraId="160E03A9" w14:textId="62A79FEE" w:rsidR="00B30901" w:rsidRPr="00B30901" w:rsidRDefault="00B30901" w:rsidP="007C41C6">
      <w:pPr>
        <w:pStyle w:val="Default"/>
        <w:numPr>
          <w:ilvl w:val="0"/>
          <w:numId w:val="2"/>
        </w:numPr>
        <w:jc w:val="both"/>
        <w:rPr>
          <w:rFonts w:ascii="Franklin Gothic Book" w:hAnsi="Franklin Gothic Book" w:cs="Tahoma"/>
          <w:b/>
          <w:bCs/>
          <w:sz w:val="20"/>
          <w:szCs w:val="20"/>
        </w:rPr>
      </w:pPr>
      <w:r w:rsidRPr="00F2634B">
        <w:rPr>
          <w:rFonts w:ascii="Franklin Gothic Book" w:hAnsi="Franklin Gothic Book" w:cs="Tahoma"/>
          <w:sz w:val="20"/>
          <w:szCs w:val="20"/>
        </w:rPr>
        <w:t xml:space="preserve">Annexure </w:t>
      </w:r>
      <w:r>
        <w:rPr>
          <w:rFonts w:ascii="Franklin Gothic Book" w:hAnsi="Franklin Gothic Book" w:cs="Tahoma"/>
          <w:sz w:val="20"/>
          <w:szCs w:val="20"/>
        </w:rPr>
        <w:t>2</w:t>
      </w:r>
      <w:r w:rsidRPr="00F2634B">
        <w:rPr>
          <w:rFonts w:ascii="Franklin Gothic Book" w:hAnsi="Franklin Gothic Book" w:cs="Tahoma"/>
          <w:sz w:val="20"/>
          <w:szCs w:val="20"/>
        </w:rPr>
        <w:t>: Schedule of works/ BOQ</w:t>
      </w:r>
      <w:r>
        <w:rPr>
          <w:rFonts w:ascii="Franklin Gothic Book" w:hAnsi="Franklin Gothic Book" w:cs="Tahoma"/>
          <w:sz w:val="20"/>
          <w:szCs w:val="20"/>
        </w:rPr>
        <w:t xml:space="preserve"> &amp; Layout</w:t>
      </w:r>
      <w:r>
        <w:rPr>
          <w:rFonts w:ascii="Franklin Gothic Book" w:hAnsi="Franklin Gothic Book" w:cs="Tahoma"/>
          <w:sz w:val="20"/>
          <w:szCs w:val="20"/>
        </w:rPr>
        <w:t>_</w:t>
      </w:r>
      <w:r w:rsidRPr="00B30901">
        <w:t xml:space="preserve"> </w:t>
      </w:r>
      <w:r w:rsidRPr="00B30901">
        <w:rPr>
          <w:rFonts w:ascii="Franklin Gothic Book" w:hAnsi="Franklin Gothic Book" w:cs="Tahoma"/>
          <w:b/>
          <w:bCs/>
          <w:sz w:val="20"/>
          <w:szCs w:val="20"/>
        </w:rPr>
        <w:t>New Drawer &amp; Cabinet Works for Agent Banking Team at Tanbazar Subbranch</w:t>
      </w:r>
    </w:p>
    <w:p w14:paraId="35D4E7A9" w14:textId="77777777" w:rsidR="00B229C6" w:rsidRPr="00F2634B" w:rsidRDefault="00B229C6" w:rsidP="00B229C6">
      <w:pPr>
        <w:pStyle w:val="Default"/>
        <w:ind w:left="720"/>
        <w:jc w:val="both"/>
        <w:rPr>
          <w:rFonts w:ascii="Franklin Gothic Book" w:hAnsi="Franklin Gothic Book" w:cs="Tahoma"/>
          <w:b/>
          <w:sz w:val="20"/>
          <w:szCs w:val="20"/>
          <w:u w:val="single"/>
        </w:rPr>
      </w:pPr>
    </w:p>
    <w:p w14:paraId="56AFA012" w14:textId="422B5FE4" w:rsidR="00C76473" w:rsidRPr="00C92A00" w:rsidRDefault="00F6375B" w:rsidP="00C92A00">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33B048F2" w14:textId="33BDEE4E" w:rsidR="00C92A00" w:rsidRDefault="00B30901" w:rsidP="00B30901">
      <w:pPr>
        <w:pStyle w:val="NoSpacing"/>
        <w:numPr>
          <w:ilvl w:val="0"/>
          <w:numId w:val="11"/>
        </w:numPr>
        <w:rPr>
          <w:rFonts w:ascii="Franklin Gothic Book" w:hAnsi="Franklin Gothic Book"/>
          <w:sz w:val="20"/>
          <w:szCs w:val="20"/>
        </w:rPr>
      </w:pPr>
      <w:r w:rsidRPr="00B30901">
        <w:rPr>
          <w:rFonts w:ascii="Franklin Gothic Book" w:hAnsi="Franklin Gothic Book"/>
          <w:sz w:val="20"/>
          <w:szCs w:val="20"/>
        </w:rPr>
        <w:t xml:space="preserve">Sarkar Mansion [1st Floor], S M Maleh Road, H # 41, Ward # 15, Narayanganj City Corporation, P.S. - Narayanganj Sadar, Dist. </w:t>
      </w:r>
      <w:r>
        <w:rPr>
          <w:rFonts w:ascii="Franklin Gothic Book" w:hAnsi="Franklin Gothic Book"/>
          <w:sz w:val="20"/>
          <w:szCs w:val="20"/>
        </w:rPr>
        <w:t>–</w:t>
      </w:r>
      <w:r w:rsidRPr="00B30901">
        <w:rPr>
          <w:rFonts w:ascii="Franklin Gothic Book" w:hAnsi="Franklin Gothic Book"/>
          <w:sz w:val="20"/>
          <w:szCs w:val="20"/>
        </w:rPr>
        <w:t xml:space="preserve"> Narayanganj</w:t>
      </w:r>
    </w:p>
    <w:p w14:paraId="4B22035A" w14:textId="07E79C85" w:rsidR="00B30901" w:rsidRDefault="00B30901" w:rsidP="00B30901">
      <w:pPr>
        <w:pStyle w:val="NoSpacing"/>
        <w:numPr>
          <w:ilvl w:val="0"/>
          <w:numId w:val="11"/>
        </w:numPr>
        <w:rPr>
          <w:rFonts w:ascii="Franklin Gothic Book" w:hAnsi="Franklin Gothic Book"/>
          <w:sz w:val="20"/>
          <w:szCs w:val="20"/>
        </w:rPr>
      </w:pPr>
      <w:r w:rsidRPr="00B30901">
        <w:rPr>
          <w:rFonts w:ascii="Franklin Gothic Book" w:hAnsi="Franklin Gothic Book"/>
          <w:sz w:val="20"/>
          <w:szCs w:val="20"/>
        </w:rPr>
        <w:t>NOCS Narayanganj (east &amp; west), New 59 (Old-33) Eshakha road, Killarpur, Narayanganj-1400</w:t>
      </w:r>
    </w:p>
    <w:p w14:paraId="37B1FC5D" w14:textId="77777777" w:rsidR="00C92A00" w:rsidRPr="00C92A00" w:rsidRDefault="00C92A00" w:rsidP="00C92A00">
      <w:pPr>
        <w:pStyle w:val="NoSpacing"/>
        <w:rPr>
          <w:rFonts w:ascii="Franklin Gothic Book" w:hAnsi="Franklin Gothic Book"/>
          <w:sz w:val="20"/>
          <w:szCs w:val="20"/>
        </w:rPr>
      </w:pP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7992EF93"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bookmarkStart w:id="0" w:name="_Hlk183700114"/>
      <w:r w:rsidR="00CD69F1">
        <w:rPr>
          <w:rFonts w:ascii="Franklin Gothic Book" w:hAnsi="Franklin Gothic Book" w:cs="Tahoma"/>
          <w:b/>
          <w:sz w:val="20"/>
          <w:szCs w:val="20"/>
          <w:highlight w:val="yellow"/>
        </w:rPr>
        <w:t>2</w:t>
      </w:r>
      <w:r w:rsidR="00B30901">
        <w:rPr>
          <w:rFonts w:ascii="Franklin Gothic Book" w:hAnsi="Franklin Gothic Book" w:cs="Tahoma"/>
          <w:b/>
          <w:sz w:val="20"/>
          <w:szCs w:val="20"/>
          <w:highlight w:val="yellow"/>
        </w:rPr>
        <w:t>5</w:t>
      </w:r>
      <w:r w:rsidR="009A1945" w:rsidRPr="009A1945">
        <w:rPr>
          <w:rFonts w:ascii="Franklin Gothic Book" w:hAnsi="Franklin Gothic Book" w:cs="Tahoma"/>
          <w:b/>
          <w:sz w:val="20"/>
          <w:szCs w:val="20"/>
          <w:highlight w:val="yellow"/>
          <w:vertAlign w:val="superscript"/>
        </w:rPr>
        <w:t>th</w:t>
      </w:r>
      <w:r w:rsidR="009A1945">
        <w:rPr>
          <w:rFonts w:ascii="Franklin Gothic Book" w:hAnsi="Franklin Gothic Book" w:cs="Tahoma"/>
          <w:b/>
          <w:sz w:val="20"/>
          <w:szCs w:val="20"/>
          <w:highlight w:val="yellow"/>
        </w:rPr>
        <w:t xml:space="preserve"> </w:t>
      </w:r>
      <w:r w:rsidR="00B30901">
        <w:rPr>
          <w:rFonts w:ascii="Franklin Gothic Book" w:hAnsi="Franklin Gothic Book" w:cs="Tahoma"/>
          <w:b/>
          <w:sz w:val="20"/>
          <w:szCs w:val="20"/>
          <w:highlight w:val="yellow"/>
        </w:rPr>
        <w:t>August</w:t>
      </w:r>
      <w:r w:rsidR="007B4A0B" w:rsidRPr="00786241">
        <w:rPr>
          <w:rFonts w:ascii="Franklin Gothic Book" w:hAnsi="Franklin Gothic Book" w:cs="Tahoma"/>
          <w:b/>
          <w:sz w:val="20"/>
          <w:szCs w:val="20"/>
          <w:highlight w:val="yellow"/>
        </w:rPr>
        <w:t xml:space="preserve"> </w:t>
      </w:r>
      <w:r w:rsidR="009B14C9" w:rsidRPr="00786241">
        <w:rPr>
          <w:rFonts w:ascii="Franklin Gothic Book" w:hAnsi="Franklin Gothic Book" w:cs="Tahoma"/>
          <w:b/>
          <w:sz w:val="20"/>
          <w:szCs w:val="20"/>
          <w:highlight w:val="yellow"/>
        </w:rPr>
        <w:t>2025;</w:t>
      </w:r>
      <w:r w:rsidR="00FC6C6B" w:rsidRPr="00786241">
        <w:rPr>
          <w:rFonts w:ascii="Franklin Gothic Book" w:hAnsi="Franklin Gothic Book" w:cs="Tahoma"/>
          <w:b/>
          <w:sz w:val="20"/>
          <w:szCs w:val="20"/>
          <w:highlight w:val="yellow"/>
        </w:rPr>
        <w:t xml:space="preserve"> </w:t>
      </w:r>
      <w:r w:rsidR="00BD3D9C"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6</w:t>
      </w:r>
      <w:r w:rsidR="00BD3D9C" w:rsidRPr="00786241">
        <w:rPr>
          <w:rFonts w:ascii="Franklin Gothic Book" w:hAnsi="Franklin Gothic Book" w:cs="Tahoma"/>
          <w:b/>
          <w:sz w:val="20"/>
          <w:szCs w:val="20"/>
          <w:highlight w:val="yellow"/>
        </w:rPr>
        <w:t>:00:00</w:t>
      </w:r>
      <w:r w:rsidR="00C62F8E" w:rsidRPr="00786241">
        <w:rPr>
          <w:rFonts w:ascii="Franklin Gothic Book" w:hAnsi="Franklin Gothic Book" w:cs="Tahoma"/>
          <w:b/>
          <w:sz w:val="20"/>
          <w:szCs w:val="20"/>
          <w:highlight w:val="yellow"/>
        </w:rPr>
        <w:t xml:space="preserve"> – </w:t>
      </w:r>
      <w:r w:rsidR="00342A78"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7</w:t>
      </w:r>
      <w:r w:rsidR="007E15A5" w:rsidRPr="00786241">
        <w:rPr>
          <w:rFonts w:ascii="Franklin Gothic Book" w:hAnsi="Franklin Gothic Book" w:cs="Tahoma"/>
          <w:b/>
          <w:sz w:val="20"/>
          <w:szCs w:val="20"/>
          <w:highlight w:val="yellow"/>
        </w:rPr>
        <w:t>:</w:t>
      </w:r>
      <w:r w:rsidR="00BD3D9C" w:rsidRPr="00786241">
        <w:rPr>
          <w:rFonts w:ascii="Franklin Gothic Book" w:hAnsi="Franklin Gothic Book" w:cs="Tahoma"/>
          <w:b/>
          <w:sz w:val="20"/>
          <w:szCs w:val="20"/>
          <w:highlight w:val="yellow"/>
        </w:rPr>
        <w:t>3</w:t>
      </w:r>
      <w:r w:rsidR="00F6375B" w:rsidRPr="00786241">
        <w:rPr>
          <w:rFonts w:ascii="Franklin Gothic Book" w:hAnsi="Franklin Gothic Book" w:cs="Tahoma"/>
          <w:b/>
          <w:sz w:val="20"/>
          <w:szCs w:val="20"/>
          <w:highlight w:val="yellow"/>
        </w:rPr>
        <w:t>0</w:t>
      </w:r>
      <w:r w:rsidR="00342A78" w:rsidRPr="00786241">
        <w:rPr>
          <w:rFonts w:ascii="Franklin Gothic Book" w:hAnsi="Franklin Gothic Book" w:cs="Tahoma"/>
          <w:b/>
          <w:sz w:val="20"/>
          <w:szCs w:val="20"/>
          <w:highlight w:val="yellow"/>
        </w:rPr>
        <w:t>:00</w:t>
      </w:r>
      <w:r w:rsidR="006D2EF6" w:rsidRPr="00786241">
        <w:rPr>
          <w:rFonts w:ascii="Franklin Gothic Book" w:hAnsi="Franklin Gothic Book" w:cs="Tahoma"/>
          <w:b/>
          <w:sz w:val="20"/>
          <w:szCs w:val="20"/>
        </w:rPr>
        <w:t xml:space="preserve"> </w:t>
      </w:r>
      <w:bookmarkEnd w:id="0"/>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1FE6A391"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E17310" w:rsidRPr="0062551B">
          <w:rPr>
            <w:rStyle w:val="Hyperlink"/>
            <w:rFonts w:ascii="Franklin Gothic Book" w:hAnsi="Franklin Gothic Book" w:cs="Tahoma"/>
            <w:sz w:val="20"/>
            <w:szCs w:val="20"/>
          </w:rPr>
          <w:t>ashrafhossain.bhuiyan@bracbank.com</w:t>
        </w:r>
      </w:hyperlink>
      <w:r w:rsidR="00E17310">
        <w:rPr>
          <w:rFonts w:ascii="Franklin Gothic Book" w:hAnsi="Franklin Gothic Book" w:cs="Tahoma"/>
          <w:color w:val="000000"/>
          <w:sz w:val="20"/>
          <w:szCs w:val="20"/>
        </w:rPr>
        <w:t xml:space="preserve"> </w:t>
      </w:r>
      <w:r w:rsidR="00E17310">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E17310">
        <w:rPr>
          <w:rFonts w:ascii="Franklin Gothic Book" w:hAnsi="Franklin Gothic Book" w:cs="Tahoma"/>
          <w:b/>
          <w:bCs/>
          <w:color w:val="000000"/>
          <w:sz w:val="20"/>
          <w:szCs w:val="20"/>
          <w:highlight w:val="yellow"/>
        </w:rPr>
        <w:t>2</w:t>
      </w:r>
      <w:r w:rsidR="00BF6C66">
        <w:rPr>
          <w:rFonts w:ascii="Franklin Gothic Book" w:hAnsi="Franklin Gothic Book" w:cs="Tahoma"/>
          <w:b/>
          <w:bCs/>
          <w:color w:val="000000"/>
          <w:sz w:val="20"/>
          <w:szCs w:val="20"/>
          <w:highlight w:val="yellow"/>
        </w:rPr>
        <w:t>5</w:t>
      </w:r>
      <w:r w:rsidR="0063456C" w:rsidRPr="0063456C">
        <w:rPr>
          <w:rFonts w:ascii="Franklin Gothic Book" w:hAnsi="Franklin Gothic Book" w:cs="Tahoma"/>
          <w:b/>
          <w:bCs/>
          <w:color w:val="000000"/>
          <w:sz w:val="20"/>
          <w:szCs w:val="20"/>
          <w:highlight w:val="yellow"/>
          <w:vertAlign w:val="superscript"/>
        </w:rPr>
        <w:t>th</w:t>
      </w:r>
      <w:r w:rsidR="0063456C">
        <w:rPr>
          <w:rFonts w:ascii="Franklin Gothic Book" w:hAnsi="Franklin Gothic Book" w:cs="Tahoma"/>
          <w:b/>
          <w:bCs/>
          <w:color w:val="000000"/>
          <w:sz w:val="20"/>
          <w:szCs w:val="20"/>
          <w:highlight w:val="yellow"/>
        </w:rPr>
        <w:t xml:space="preserve"> </w:t>
      </w:r>
      <w:r w:rsidR="00BF6C66">
        <w:rPr>
          <w:rFonts w:ascii="Franklin Gothic Book" w:hAnsi="Franklin Gothic Book" w:cs="Tahoma"/>
          <w:b/>
          <w:bCs/>
          <w:color w:val="000000"/>
          <w:sz w:val="20"/>
          <w:szCs w:val="20"/>
          <w:highlight w:val="yellow"/>
        </w:rPr>
        <w:t xml:space="preserve">Aug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lastRenderedPageBreak/>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Contact </w:t>
      </w:r>
      <w:r w:rsidR="0032777F" w:rsidRPr="00F2634B">
        <w:rPr>
          <w:rFonts w:ascii="Franklin Gothic Book" w:hAnsi="Franklin Gothic Book" w:cs="Tahoma"/>
          <w:color w:val="000000"/>
          <w:sz w:val="20"/>
          <w:szCs w:val="20"/>
        </w:rPr>
        <w:t>persons:</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Point of Contact: </w:t>
      </w:r>
    </w:p>
    <w:p w14:paraId="06F75102" w14:textId="77777777" w:rsidR="00ED46E8" w:rsidRDefault="00ED46E8" w:rsidP="00ED46E8">
      <w:pPr>
        <w:pStyle w:val="ListParagraph"/>
        <w:numPr>
          <w:ilvl w:val="0"/>
          <w:numId w:val="1"/>
        </w:numPr>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w:t>
      </w:r>
      <w:r w:rsidRPr="00067CEB">
        <w:rPr>
          <w:rFonts w:asciiTheme="minorHAnsi" w:hAnsiTheme="minorHAnsi" w:cstheme="minorHAnsi"/>
          <w:b/>
          <w:bCs/>
        </w:rPr>
        <w:t xml:space="preserve"> </w:t>
      </w:r>
      <w:r w:rsidRPr="00C01D33">
        <w:rPr>
          <w:rFonts w:ascii="Franklin Gothic Book" w:hAnsi="Franklin Gothic Book" w:cs="Tahoma"/>
          <w:b/>
          <w:bCs/>
          <w:color w:val="000000"/>
          <w:sz w:val="20"/>
          <w:szCs w:val="20"/>
        </w:rPr>
        <w:t>Arif Ahmed</w:t>
      </w:r>
      <w:r w:rsidRPr="009B0D09">
        <w:rPr>
          <w:rFonts w:ascii="Franklin Gothic Book" w:hAnsi="Franklin Gothic Book" w:cs="Tahoma"/>
          <w:b/>
          <w:bCs/>
          <w:color w:val="000000"/>
          <w:sz w:val="20"/>
          <w:szCs w:val="20"/>
        </w:rPr>
        <w:t xml:space="preserve">; e-mail: </w:t>
      </w:r>
      <w:hyperlink r:id="rId7" w:history="1">
        <w:r w:rsidRPr="005D0FB0">
          <w:rPr>
            <w:rStyle w:val="Hyperlink"/>
            <w:rFonts w:ascii="Franklin Gothic Book" w:hAnsi="Franklin Gothic Book" w:cs="Tahoma"/>
            <w:b/>
            <w:bCs/>
            <w:sz w:val="20"/>
            <w:szCs w:val="20"/>
          </w:rPr>
          <w:t>arif.ahmed@bracbank.com</w:t>
        </w:r>
      </w:hyperlink>
      <w:r>
        <w:rPr>
          <w:rFonts w:ascii="Franklin Gothic Book" w:hAnsi="Franklin Gothic Book" w:cs="Tahoma"/>
          <w:b/>
          <w:bCs/>
          <w:color w:val="000000"/>
          <w:sz w:val="20"/>
          <w:szCs w:val="20"/>
        </w:rPr>
        <w:t xml:space="preserve"> </w:t>
      </w:r>
      <w:r w:rsidRPr="009B0D09">
        <w:rPr>
          <w:rFonts w:ascii="Franklin Gothic Book" w:hAnsi="Franklin Gothic Book" w:cs="Tahoma"/>
          <w:b/>
          <w:bCs/>
          <w:color w:val="000000"/>
          <w:sz w:val="20"/>
          <w:szCs w:val="20"/>
        </w:rPr>
        <w:t xml:space="preserve">; Mobile: +88 </w:t>
      </w:r>
      <w:r w:rsidRPr="00C01D33">
        <w:rPr>
          <w:rFonts w:ascii="Franklin Gothic Book" w:hAnsi="Franklin Gothic Book" w:cs="Tahoma"/>
          <w:b/>
          <w:bCs/>
          <w:color w:val="000000"/>
          <w:sz w:val="20"/>
          <w:szCs w:val="20"/>
        </w:rPr>
        <w:t>01321223907</w:t>
      </w:r>
    </w:p>
    <w:p w14:paraId="58EB730C" w14:textId="77777777" w:rsidR="00ED46E8" w:rsidRPr="00937BB5" w:rsidRDefault="00ED46E8" w:rsidP="00ED46E8">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Commercial Issues: M</w:t>
      </w:r>
      <w:r>
        <w:rPr>
          <w:rFonts w:ascii="Franklin Gothic Book" w:hAnsi="Franklin Gothic Book" w:cs="Tahoma"/>
          <w:b/>
          <w:color w:val="000000"/>
          <w:sz w:val="20"/>
          <w:szCs w:val="20"/>
        </w:rPr>
        <w:t xml:space="preserve">d </w:t>
      </w:r>
      <w:r w:rsidRPr="00C01D33">
        <w:rPr>
          <w:rFonts w:ascii="Franklin Gothic Book" w:hAnsi="Franklin Gothic Book" w:cs="Tahoma"/>
          <w:b/>
          <w:color w:val="000000"/>
          <w:sz w:val="20"/>
          <w:szCs w:val="20"/>
        </w:rPr>
        <w:t>Ashraf Hossain Bhuiyan</w:t>
      </w:r>
      <w:r w:rsidRPr="00937BB5">
        <w:rPr>
          <w:rFonts w:ascii="Franklin Gothic Book" w:hAnsi="Franklin Gothic Book" w:cs="Tahoma"/>
          <w:b/>
          <w:color w:val="000000"/>
          <w:sz w:val="20"/>
          <w:szCs w:val="20"/>
        </w:rPr>
        <w:t>; e-mail:</w:t>
      </w:r>
      <w:r w:rsidRPr="00B64768">
        <w:t xml:space="preserve"> </w:t>
      </w:r>
      <w:hyperlink r:id="rId8" w:history="1">
        <w:r w:rsidRPr="00A26C6E">
          <w:rPr>
            <w:rStyle w:val="Hyperlink"/>
            <w:rFonts w:ascii="Franklin Gothic Book" w:hAnsi="Franklin Gothic Book" w:cs="Tahoma"/>
            <w:b/>
            <w:sz w:val="20"/>
            <w:szCs w:val="20"/>
          </w:rPr>
          <w:t>ashrafhossain.bhuiyan@bracbank.com</w:t>
        </w:r>
      </w:hyperlink>
      <w:r>
        <w:rPr>
          <w:rFonts w:ascii="Franklin Gothic Book" w:hAnsi="Franklin Gothic Book" w:cs="Tahoma"/>
          <w:b/>
          <w:color w:val="000000"/>
          <w:sz w:val="20"/>
          <w:szCs w:val="20"/>
        </w:rPr>
        <w:t xml:space="preserve"> </w:t>
      </w:r>
      <w:r>
        <w:t xml:space="preserve"> </w:t>
      </w:r>
      <w:r w:rsidRPr="00937BB5">
        <w:rPr>
          <w:rFonts w:ascii="Franklin Gothic Book" w:hAnsi="Franklin Gothic Book" w:cs="Tahoma"/>
          <w:b/>
          <w:color w:val="000000"/>
          <w:sz w:val="20"/>
          <w:szCs w:val="20"/>
        </w:rPr>
        <w:t>; Mobile: 018471963</w:t>
      </w:r>
      <w:r>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7D5CCD06"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has to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price through</w:t>
      </w:r>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CD69F1">
        <w:rPr>
          <w:rFonts w:ascii="Franklin Gothic Book" w:hAnsi="Franklin Gothic Book" w:cs="Tahoma"/>
          <w:b/>
          <w:bCs/>
          <w:color w:val="000000"/>
          <w:sz w:val="20"/>
          <w:szCs w:val="20"/>
          <w:highlight w:val="yellow"/>
        </w:rPr>
        <w:t>2</w:t>
      </w:r>
      <w:r w:rsidR="00BF6C66">
        <w:rPr>
          <w:rFonts w:ascii="Franklin Gothic Book" w:hAnsi="Franklin Gothic Book" w:cs="Tahoma"/>
          <w:b/>
          <w:bCs/>
          <w:color w:val="000000"/>
          <w:sz w:val="20"/>
          <w:szCs w:val="20"/>
          <w:highlight w:val="yellow"/>
        </w:rPr>
        <w:t>6</w:t>
      </w:r>
      <w:r w:rsidR="00491A8B" w:rsidRPr="00491A8B">
        <w:rPr>
          <w:rFonts w:ascii="Franklin Gothic Book" w:hAnsi="Franklin Gothic Book" w:cs="Tahoma"/>
          <w:b/>
          <w:bCs/>
          <w:color w:val="000000"/>
          <w:sz w:val="20"/>
          <w:szCs w:val="20"/>
          <w:highlight w:val="yellow"/>
          <w:vertAlign w:val="superscript"/>
        </w:rPr>
        <w:t>th</w:t>
      </w:r>
      <w:r w:rsidR="00491A8B">
        <w:rPr>
          <w:rFonts w:ascii="Franklin Gothic Book" w:hAnsi="Franklin Gothic Book" w:cs="Tahoma"/>
          <w:b/>
          <w:bCs/>
          <w:color w:val="000000"/>
          <w:sz w:val="20"/>
          <w:szCs w:val="20"/>
          <w:highlight w:val="yellow"/>
        </w:rPr>
        <w:t xml:space="preserve"> </w:t>
      </w:r>
      <w:r w:rsidR="00BF6C66">
        <w:rPr>
          <w:rFonts w:ascii="Franklin Gothic Book" w:hAnsi="Franklin Gothic Book" w:cs="Tahoma"/>
          <w:b/>
          <w:bCs/>
          <w:color w:val="000000"/>
          <w:sz w:val="20"/>
          <w:szCs w:val="20"/>
          <w:highlight w:val="yellow"/>
        </w:rPr>
        <w:t>Aug</w:t>
      </w:r>
      <w:r w:rsidR="007E1EFA">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vendor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Phase-01: 20% payment after completion of 25% project works.</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Phase-02: 20% payment after completion of 50% project works.</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Phase-03: 20% payment after completion of 75% project works.</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Phase-04: 30% payment after completion of 100% project works.</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Phase-05: 10% payment after 1 year from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EVALUATION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Capacity of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lastRenderedPageBreak/>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is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r w:rsidRPr="00F2634B">
        <w:rPr>
          <w:rFonts w:ascii="Nirmala UI" w:hAnsi="Nirmala UI" w:cs="Nirmala UI"/>
          <w:b/>
          <w:sz w:val="20"/>
          <w:szCs w:val="20"/>
          <w:u w:val="single"/>
          <w:lang w:val="en-IN"/>
        </w:rPr>
        <w:t>ফিউশন</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বিডিং</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অংশগ্রহণ</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ত্রুটি</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সংক্রান্ত</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যোগাযোগ</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নীতিমালা</w:t>
      </w:r>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বিকল্প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ব্রডব্যান্ড</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মোবাইল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ডেটা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নিরবিচ্ছিন্ন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নিজ</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কোম্পানির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সর্বনিম্ন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মূল্যের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প্রস্তাবটি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সিস্টেমে</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সর্বাগ্রে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পরামর্শ</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দেওয়া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কোনও</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ত্রুটির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মুখোমুখি</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অবশ্যই</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ততক্ষণিক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ভাবে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প্রকিউরমেন্ট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কাছে</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ইমেইল</w:t>
      </w:r>
      <w:r w:rsidRPr="00F2634B">
        <w:rPr>
          <w:rFonts w:ascii="Franklin Gothic Book" w:hAnsi="Franklin Gothic Book"/>
          <w:sz w:val="20"/>
          <w:szCs w:val="20"/>
          <w:lang w:bidi="bn-IN"/>
        </w:rPr>
        <w:t xml:space="preserve"> </w:t>
      </w:r>
      <w:r w:rsidRPr="00F2634B">
        <w:rPr>
          <w:rFonts w:ascii="Arial" w:hAnsi="Arial" w:cs="Arial"/>
          <w:sz w:val="20"/>
          <w:szCs w:val="20"/>
          <w:lang w:bidi="bn-IN"/>
        </w:rPr>
        <w:t>​</w:t>
      </w:r>
      <w:r w:rsidRPr="00F2634B">
        <w:rPr>
          <w:rFonts w:ascii="Nirmala UI" w:hAnsi="Nirmala UI" w:cs="Nirmala UI"/>
          <w:sz w:val="20"/>
          <w:szCs w:val="20"/>
          <w:lang w:bidi="bn-IN"/>
        </w:rPr>
        <w:t>করতে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উল্লেখ্য</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ব্যাতিত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আমলে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জন্য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বরাদ্দ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নির্দিষ্ট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সময়সীমা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হওয়ার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উল্লেখিত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ত্রুটি</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সমস্যাগুলির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যথার্থতা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আইটি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দ্বারা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যাচাইপুর্বক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সেগুলো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গ্রহনযোগ্য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অব্যাহত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রাখতে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ব্যর্থ</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উক্ত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প্রদত্ত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সর্বশেষ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অফারটিকে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দুইয়ের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অধিক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অংশগ্রহনকারী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দরদাতাদের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একই</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রকম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অসুবিধার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উত্থাপন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কর্তৃপক্ষ</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সঙ্ক্রান্ত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প্রতিবেদনগুলি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উপেক্ষা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সংরক্ষণ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অংশগ্রহণকারীদের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নিজস্ব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কম্পিউটার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ম্যানুয়ালটিকে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সঠিকভাবে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অনুসরণ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সম্মুখীন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r w:rsidRPr="00F2634B">
        <w:rPr>
          <w:rFonts w:ascii="Nirmala UI" w:hAnsi="Nirmala UI" w:cs="Nirmala UI"/>
          <w:sz w:val="20"/>
          <w:szCs w:val="20"/>
          <w:lang w:bidi="bn-IN"/>
        </w:rPr>
        <w:t>আপনাদের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সার্থক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করছি।</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lastRenderedPageBreak/>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Other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Other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4345"/>
    <w:multiLevelType w:val="hybridMultilevel"/>
    <w:tmpl w:val="2A54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BD0046"/>
    <w:multiLevelType w:val="hybridMultilevel"/>
    <w:tmpl w:val="38B6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10"/>
  </w:num>
  <w:num w:numId="10" w16cid:durableId="1401556846">
    <w:abstractNumId w:val="8"/>
  </w:num>
  <w:num w:numId="11" w16cid:durableId="1897351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14C51"/>
    <w:rsid w:val="00025425"/>
    <w:rsid w:val="00035264"/>
    <w:rsid w:val="00037113"/>
    <w:rsid w:val="00041D8C"/>
    <w:rsid w:val="000428BD"/>
    <w:rsid w:val="0004562C"/>
    <w:rsid w:val="00046079"/>
    <w:rsid w:val="00046806"/>
    <w:rsid w:val="0005224F"/>
    <w:rsid w:val="00053135"/>
    <w:rsid w:val="00054890"/>
    <w:rsid w:val="00065DAE"/>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3E1D"/>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85AD1"/>
    <w:rsid w:val="00490B98"/>
    <w:rsid w:val="00491A8B"/>
    <w:rsid w:val="004A6E85"/>
    <w:rsid w:val="004B3D47"/>
    <w:rsid w:val="004B4477"/>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E1309"/>
    <w:rsid w:val="005E13EE"/>
    <w:rsid w:val="005E2D8A"/>
    <w:rsid w:val="005E5B84"/>
    <w:rsid w:val="005E5D83"/>
    <w:rsid w:val="005F16E5"/>
    <w:rsid w:val="005F31F0"/>
    <w:rsid w:val="005F35D6"/>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3117E"/>
    <w:rsid w:val="00732845"/>
    <w:rsid w:val="0073427C"/>
    <w:rsid w:val="0073627C"/>
    <w:rsid w:val="00742AF2"/>
    <w:rsid w:val="00747149"/>
    <w:rsid w:val="0074733A"/>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C1C"/>
    <w:rsid w:val="007838BE"/>
    <w:rsid w:val="00785BF6"/>
    <w:rsid w:val="00786241"/>
    <w:rsid w:val="00786960"/>
    <w:rsid w:val="00786C80"/>
    <w:rsid w:val="007961B1"/>
    <w:rsid w:val="007A3F51"/>
    <w:rsid w:val="007A5CB0"/>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AC3"/>
    <w:rsid w:val="00972193"/>
    <w:rsid w:val="00973720"/>
    <w:rsid w:val="009810C8"/>
    <w:rsid w:val="00994BD7"/>
    <w:rsid w:val="009962EE"/>
    <w:rsid w:val="0099788B"/>
    <w:rsid w:val="009A1945"/>
    <w:rsid w:val="009A325C"/>
    <w:rsid w:val="009A3401"/>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B02857"/>
    <w:rsid w:val="00B0464E"/>
    <w:rsid w:val="00B10EE5"/>
    <w:rsid w:val="00B132BB"/>
    <w:rsid w:val="00B15200"/>
    <w:rsid w:val="00B22600"/>
    <w:rsid w:val="00B229C6"/>
    <w:rsid w:val="00B2341A"/>
    <w:rsid w:val="00B2631D"/>
    <w:rsid w:val="00B27F0B"/>
    <w:rsid w:val="00B30901"/>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6C66"/>
    <w:rsid w:val="00BF758F"/>
    <w:rsid w:val="00C03595"/>
    <w:rsid w:val="00C10717"/>
    <w:rsid w:val="00C17C0E"/>
    <w:rsid w:val="00C22EAF"/>
    <w:rsid w:val="00C325D2"/>
    <w:rsid w:val="00C4056B"/>
    <w:rsid w:val="00C42709"/>
    <w:rsid w:val="00C43D02"/>
    <w:rsid w:val="00C500BE"/>
    <w:rsid w:val="00C52778"/>
    <w:rsid w:val="00C55CD9"/>
    <w:rsid w:val="00C60986"/>
    <w:rsid w:val="00C62014"/>
    <w:rsid w:val="00C62F8E"/>
    <w:rsid w:val="00C64B79"/>
    <w:rsid w:val="00C671A9"/>
    <w:rsid w:val="00C67B6E"/>
    <w:rsid w:val="00C717A4"/>
    <w:rsid w:val="00C72A89"/>
    <w:rsid w:val="00C76473"/>
    <w:rsid w:val="00C769E3"/>
    <w:rsid w:val="00C81211"/>
    <w:rsid w:val="00C9174E"/>
    <w:rsid w:val="00C92A00"/>
    <w:rsid w:val="00C95F31"/>
    <w:rsid w:val="00CA55B6"/>
    <w:rsid w:val="00CA5B2A"/>
    <w:rsid w:val="00CB2A36"/>
    <w:rsid w:val="00CB2BE7"/>
    <w:rsid w:val="00CB2F60"/>
    <w:rsid w:val="00CC40B4"/>
    <w:rsid w:val="00CC4A61"/>
    <w:rsid w:val="00CC5E01"/>
    <w:rsid w:val="00CD04F0"/>
    <w:rsid w:val="00CD200A"/>
    <w:rsid w:val="00CD25B3"/>
    <w:rsid w:val="00CD69F1"/>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436E"/>
    <w:rsid w:val="00DC5279"/>
    <w:rsid w:val="00DD4432"/>
    <w:rsid w:val="00DE39B7"/>
    <w:rsid w:val="00DE3C8D"/>
    <w:rsid w:val="00DE6101"/>
    <w:rsid w:val="00DF0529"/>
    <w:rsid w:val="00DF2010"/>
    <w:rsid w:val="00E06191"/>
    <w:rsid w:val="00E076B4"/>
    <w:rsid w:val="00E17310"/>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65D"/>
    <w:rsid w:val="00ED0848"/>
    <w:rsid w:val="00ED2FED"/>
    <w:rsid w:val="00ED39A2"/>
    <w:rsid w:val="00ED46E8"/>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2480429">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19272997">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arif.ahmed@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2243</TotalTime>
  <Pages>7</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624</cp:revision>
  <cp:lastPrinted>2022-08-07T09:10:00Z</cp:lastPrinted>
  <dcterms:created xsi:type="dcterms:W3CDTF">2022-02-02T05:27:00Z</dcterms:created>
  <dcterms:modified xsi:type="dcterms:W3CDTF">2025-08-24T13:26:00Z</dcterms:modified>
</cp:coreProperties>
</file>